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59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FRENCH HALF TERM 1</w:t>
      </w:r>
    </w:p>
    <w:p w:rsidR="00000000" w:rsidDel="00000000" w:rsidP="00000000" w:rsidRDefault="00000000" w:rsidRPr="00000000" w14:paraId="00000003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 YEAR 11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Travel and tourism</w:t>
            </w:r>
          </w:p>
          <w:p w:rsidR="00000000" w:rsidDel="00000000" w:rsidP="00000000" w:rsidRDefault="00000000" w:rsidRPr="00000000" w14:paraId="00000007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VOCABULARY TOPICS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Weather on holiday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Francophone countries</w:t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Tourist trips</w:t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Dream holidays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VERBS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Grammar focus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Weather expressions </w:t>
            </w:r>
          </w:p>
          <w:p w:rsidR="00000000" w:rsidDel="00000000" w:rsidP="00000000" w:rsidRDefault="00000000" w:rsidRPr="00000000" w14:paraId="00000010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Adjectives ending in -able</w:t>
            </w:r>
          </w:p>
          <w:p w:rsidR="00000000" w:rsidDel="00000000" w:rsidP="00000000" w:rsidRDefault="00000000" w:rsidRPr="00000000" w14:paraId="00000011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The imperfect tense of etre avoir and faire</w:t>
            </w:r>
          </w:p>
          <w:p w:rsidR="00000000" w:rsidDel="00000000" w:rsidP="00000000" w:rsidRDefault="00000000" w:rsidRPr="00000000" w14:paraId="00000012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Prepositions for countries and mode de transport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LINKS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b w:val="1"/>
                <w:i w:val="1"/>
                <w:sz w:val="38"/>
                <w:szCs w:val="38"/>
              </w:rPr>
            </w:pPr>
            <w:hyperlink r:id="rId8">
              <w:r w:rsidDel="00000000" w:rsidR="00000000" w:rsidRPr="00000000">
                <w:rPr>
                  <w:b w:val="1"/>
                  <w:i w:val="1"/>
                  <w:color w:val="1155cc"/>
                  <w:sz w:val="38"/>
                  <w:szCs w:val="38"/>
                  <w:u w:val="single"/>
                  <w:rtl w:val="0"/>
                </w:rPr>
                <w:t xml:space="preserve">https://quizlet.com/gb/971058869/gcse-french-travel-and-tourism-flash-cards/</w:t>
              </w:r>
            </w:hyperlink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5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A046D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quizlet.com/gb/971058869/gcse-french-travel-and-tourism-flash-card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7fsQiAZ98/jadjbs2dDXWsuL5g==">CgMxLjA4AHIhMWN3bzBWN3VUX1hrUXdwLTZaVjNka1dtVVhjMkhwMXk4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2025-07-08T11:28:00Z</dcterms:created>
  <dc:creator>Jeremie Le Normand</dc:creator>
</cp:coreProperties>
</file>